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88" w:lineRule="exact"/>
        <w:ind w:firstLine="0" w:firstLineChars="0"/>
        <w:jc w:val="left"/>
        <w:textAlignment w:val="auto"/>
        <w:rPr>
          <w:rFonts w:hint="eastAsia" w:ascii="Times New Roman" w:hAnsi="Times New Roman" w:eastAsia="方正黑体_GBK" w:cs="方正黑体_GBK"/>
          <w:kern w:val="0"/>
          <w:sz w:val="32"/>
          <w:szCs w:val="32"/>
          <w:lang w:val="en-US" w:eastAsia="zh-CN" w:bidi="ar"/>
        </w:rPr>
      </w:pPr>
      <w:r>
        <w:rPr>
          <w:rFonts w:hint="eastAsia" w:ascii="Times New Roman" w:hAnsi="Times New Roman" w:eastAsia="方正黑体_GBK" w:cs="方正黑体_GBK"/>
          <w:kern w:val="0"/>
          <w:sz w:val="32"/>
          <w:szCs w:val="32"/>
          <w:lang w:val="en-US" w:eastAsia="zh-CN" w:bidi="ar"/>
        </w:rPr>
        <w:t>附件</w:t>
      </w:r>
    </w:p>
    <w:p>
      <w:pPr>
        <w:widowControl/>
        <w:spacing w:line="588" w:lineRule="exact"/>
        <w:ind w:firstLine="0" w:firstLineChars="0"/>
        <w:jc w:val="left"/>
        <w:rPr>
          <w:rFonts w:hint="default" w:ascii="Times New Roman" w:hAnsi="Times New Roman" w:eastAsia="黑体" w:cs="黑体"/>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588" w:lineRule="exact"/>
        <w:ind w:firstLine="0" w:firstLineChars="0"/>
        <w:jc w:val="center"/>
        <w:textAlignment w:val="auto"/>
        <w:rPr>
          <w:rFonts w:hint="eastAsia" w:ascii="Times New Roman" w:hAnsi="Times New Roman" w:eastAsia="方正小标宋_GBK" w:cs="方正小标宋_GBK"/>
          <w:kern w:val="0"/>
          <w:sz w:val="40"/>
          <w:szCs w:val="40"/>
          <w:lang w:eastAsia="zh-CN" w:bidi="ar"/>
        </w:rPr>
      </w:pPr>
      <w:r>
        <w:rPr>
          <w:rFonts w:hint="eastAsia" w:ascii="Times New Roman" w:hAnsi="Times New Roman" w:eastAsia="方正小标宋_GBK" w:cs="方正小标宋_GBK"/>
          <w:kern w:val="0"/>
          <w:sz w:val="40"/>
          <w:szCs w:val="40"/>
          <w:lang w:eastAsia="zh-CN" w:bidi="ar"/>
        </w:rPr>
        <w:t>电力中长期交易基本规则——绿色电力交易专章</w:t>
      </w:r>
    </w:p>
    <w:p>
      <w:pPr>
        <w:keepNext w:val="0"/>
        <w:keepLines w:val="0"/>
        <w:pageBreakBefore w:val="0"/>
        <w:widowControl/>
        <w:kinsoku/>
        <w:wordWrap/>
        <w:overflowPunct/>
        <w:topLinePunct w:val="0"/>
        <w:autoSpaceDE/>
        <w:autoSpaceDN/>
        <w:bidi w:val="0"/>
        <w:adjustRightInd/>
        <w:snapToGrid/>
        <w:spacing w:line="588" w:lineRule="exact"/>
        <w:ind w:firstLine="0" w:firstLineChars="0"/>
        <w:jc w:val="center"/>
        <w:textAlignment w:val="auto"/>
        <w:rPr>
          <w:rFonts w:hint="eastAsia" w:ascii="Times New Roman" w:hAnsi="Times New Roman" w:eastAsia="方正楷体_GBK" w:cs="方正楷体_GBK"/>
          <w:kern w:val="0"/>
          <w:sz w:val="36"/>
          <w:szCs w:val="36"/>
          <w:lang w:eastAsia="zh-CN" w:bidi="ar"/>
        </w:rPr>
      </w:pPr>
      <w:r>
        <w:rPr>
          <w:rFonts w:hint="eastAsia" w:ascii="Times New Roman" w:hAnsi="Times New Roman" w:eastAsia="方正楷体_GBK" w:cs="方正楷体_GBK"/>
          <w:kern w:val="0"/>
          <w:sz w:val="36"/>
          <w:szCs w:val="36"/>
          <w:lang w:eastAsia="zh-CN" w:bidi="ar"/>
        </w:rPr>
        <w:t>（</w:t>
      </w:r>
      <w:r>
        <w:rPr>
          <w:rFonts w:hint="eastAsia" w:ascii="Times New Roman" w:hAnsi="Times New Roman" w:eastAsia="方正楷体_GBK" w:cs="方正楷体_GBK"/>
          <w:kern w:val="0"/>
          <w:sz w:val="36"/>
          <w:szCs w:val="36"/>
          <w:lang w:val="en-US" w:eastAsia="zh-CN" w:bidi="ar"/>
        </w:rPr>
        <w:t>征求意见稿</w:t>
      </w:r>
      <w:r>
        <w:rPr>
          <w:rFonts w:hint="eastAsia" w:ascii="Times New Roman" w:hAnsi="Times New Roman" w:eastAsia="方正楷体_GBK" w:cs="方正楷体_GBK"/>
          <w:kern w:val="0"/>
          <w:sz w:val="36"/>
          <w:szCs w:val="36"/>
          <w:lang w:eastAsia="zh-CN" w:bidi="ar"/>
        </w:rPr>
        <w:t>）</w:t>
      </w:r>
    </w:p>
    <w:p>
      <w:pPr>
        <w:widowControl/>
        <w:spacing w:line="588" w:lineRule="exact"/>
        <w:ind w:firstLine="640" w:firstLineChars="200"/>
        <w:jc w:val="left"/>
        <w:rPr>
          <w:rFonts w:hint="eastAsia" w:ascii="Times New Roman" w:hAnsi="Times New Roman" w:eastAsia="黑体" w:cs="黑体"/>
          <w:kern w:val="0"/>
          <w:sz w:val="32"/>
          <w:szCs w:val="32"/>
          <w:lang w:bidi="ar"/>
        </w:rPr>
      </w:pPr>
    </w:p>
    <w:p>
      <w:pPr>
        <w:keepNext w:val="0"/>
        <w:keepLines w:val="0"/>
        <w:pageBreakBefore w:val="0"/>
        <w:widowControl/>
        <w:kinsoku/>
        <w:wordWrap/>
        <w:overflowPunct/>
        <w:topLinePunct w:val="0"/>
        <w:autoSpaceDE/>
        <w:autoSpaceDN/>
        <w:bidi w:val="0"/>
        <w:adjustRightInd/>
        <w:snapToGrid/>
        <w:spacing w:line="588" w:lineRule="exact"/>
        <w:ind w:firstLine="640" w:firstLineChars="200"/>
        <w:jc w:val="left"/>
        <w:textAlignment w:val="auto"/>
        <w:rPr>
          <w:rFonts w:hint="eastAsia" w:ascii="Times New Roman" w:hAnsi="Times New Roman" w:eastAsia="方正黑体_GBK" w:cs="方正黑体_GBK"/>
          <w:kern w:val="0"/>
          <w:sz w:val="32"/>
          <w:szCs w:val="32"/>
          <w:lang w:bidi="ar"/>
        </w:rPr>
      </w:pPr>
      <w:r>
        <w:rPr>
          <w:rFonts w:hint="eastAsia" w:ascii="Times New Roman" w:hAnsi="Times New Roman" w:eastAsia="方正黑体_GBK" w:cs="方正黑体_GBK"/>
          <w:kern w:val="0"/>
          <w:sz w:val="32"/>
          <w:szCs w:val="32"/>
          <w:lang w:bidi="ar"/>
        </w:rPr>
        <w:t>一、绿色电力交易的定义</w:t>
      </w:r>
      <w:bookmarkStart w:id="34" w:name="_GoBack"/>
      <w:bookmarkEnd w:id="34"/>
    </w:p>
    <w:p>
      <w:pPr>
        <w:keepNext w:val="0"/>
        <w:keepLines w:val="0"/>
        <w:pageBreakBefore w:val="0"/>
        <w:kinsoku/>
        <w:wordWrap/>
        <w:overflowPunct/>
        <w:topLinePunct w:val="0"/>
        <w:autoSpaceDE/>
        <w:autoSpaceDN/>
        <w:bidi w:val="0"/>
        <w:adjustRightInd/>
        <w:snapToGrid/>
        <w:spacing w:line="588" w:lineRule="exact"/>
        <w:ind w:firstLine="640" w:firstLineChars="200"/>
        <w:contextualSpacing/>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一）绿色电力是指符合国家有关政策要求的风电（含分散式风电和海上风电）、太阳能发电（含分布式光伏发电和光热发电）、常规水电、生物质发电、地热能发电、海洋能发电等已建档立卡的可再生能源发电项目所生产的全部电量。</w:t>
      </w:r>
    </w:p>
    <w:p>
      <w:pPr>
        <w:keepNext w:val="0"/>
        <w:keepLines w:val="0"/>
        <w:pageBreakBefore w:val="0"/>
        <w:kinsoku/>
        <w:wordWrap/>
        <w:overflowPunct/>
        <w:topLinePunct w:val="0"/>
        <w:autoSpaceDE/>
        <w:autoSpaceDN/>
        <w:bidi w:val="0"/>
        <w:adjustRightInd/>
        <w:snapToGrid/>
        <w:spacing w:line="588" w:lineRule="exact"/>
        <w:ind w:firstLine="640" w:firstLineChars="200"/>
        <w:contextualSpacing/>
        <w:textAlignment w:val="auto"/>
        <w:rPr>
          <w:rFonts w:ascii="Times New Roman" w:hAnsi="Times New Roman" w:eastAsia="方正仿宋_GBK"/>
          <w:sz w:val="32"/>
          <w:szCs w:val="32"/>
        </w:rPr>
      </w:pPr>
      <w:r>
        <w:rPr>
          <w:rFonts w:hint="eastAsia" w:ascii="Times New Roman" w:hAnsi="Times New Roman" w:eastAsia="方正仿宋_GBK"/>
          <w:sz w:val="32"/>
          <w:szCs w:val="32"/>
        </w:rPr>
        <w:t>（二）绿色电力交易是指以绿色电力和对应绿色电力环境价值为标的物的电力交易品种，交易电力同时提供国家</w:t>
      </w:r>
      <w:r>
        <w:rPr>
          <w:rFonts w:hint="eastAsia" w:ascii="Times New Roman" w:hAnsi="Times New Roman" w:eastAsia="方正仿宋_GBK"/>
          <w:sz w:val="32"/>
          <w:szCs w:val="32"/>
          <w:lang w:val="en-US" w:eastAsia="zh-CN"/>
        </w:rPr>
        <w:t>核</w:t>
      </w:r>
      <w:r>
        <w:rPr>
          <w:rFonts w:hint="eastAsia" w:ascii="Times New Roman" w:hAnsi="Times New Roman" w:eastAsia="方正仿宋_GBK"/>
          <w:sz w:val="32"/>
          <w:szCs w:val="32"/>
        </w:rPr>
        <w:t>发的可再生能源绿色电力证书（以下简称绿证），用以满足发电企业、售电公司、电力用户等出售、购买绿色电力的需求。初期，参与绿色电力交易的发电侧主体为</w:t>
      </w:r>
      <w:r>
        <w:rPr>
          <w:rFonts w:hint="eastAsia" w:ascii="Times New Roman" w:hAnsi="Times New Roman" w:eastAsia="方正仿宋_GBK"/>
          <w:sz w:val="32"/>
          <w:szCs w:val="32"/>
          <w:lang w:val="en-US" w:eastAsia="zh-CN"/>
        </w:rPr>
        <w:t>风电、光伏发电</w:t>
      </w:r>
      <w:r>
        <w:rPr>
          <w:rFonts w:hint="eastAsia" w:ascii="Times New Roman" w:hAnsi="Times New Roman" w:eastAsia="方正仿宋_GBK"/>
          <w:sz w:val="32"/>
          <w:szCs w:val="32"/>
        </w:rPr>
        <w:t>项目。</w:t>
      </w:r>
    </w:p>
    <w:p>
      <w:pPr>
        <w:keepNext w:val="0"/>
        <w:keepLines w:val="0"/>
        <w:pageBreakBefore w:val="0"/>
        <w:kinsoku/>
        <w:wordWrap/>
        <w:overflowPunct/>
        <w:topLinePunct w:val="0"/>
        <w:autoSpaceDE/>
        <w:autoSpaceDN/>
        <w:bidi w:val="0"/>
        <w:adjustRightInd/>
        <w:snapToGrid/>
        <w:spacing w:line="588" w:lineRule="exact"/>
        <w:ind w:firstLine="640" w:firstLineChars="200"/>
        <w:contextualSpacing/>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（三）绿色电力交易</w:t>
      </w:r>
      <w:r>
        <w:rPr>
          <w:rFonts w:hint="eastAsia" w:ascii="Times New Roman" w:hAnsi="Times New Roman" w:eastAsia="方正仿宋_GBK"/>
          <w:sz w:val="32"/>
          <w:szCs w:val="32"/>
          <w:lang w:eastAsia="zh-CN"/>
        </w:rPr>
        <w:t>是</w:t>
      </w:r>
      <w:r>
        <w:rPr>
          <w:rFonts w:ascii="Times New Roman" w:hAnsi="Times New Roman" w:eastAsia="方正仿宋_GBK"/>
          <w:sz w:val="32"/>
          <w:szCs w:val="32"/>
        </w:rPr>
        <w:t>中长期交易</w:t>
      </w:r>
      <w:r>
        <w:rPr>
          <w:rFonts w:hint="eastAsia" w:ascii="Times New Roman" w:hAnsi="Times New Roman" w:eastAsia="方正仿宋_GBK"/>
          <w:sz w:val="32"/>
          <w:szCs w:val="32"/>
          <w:lang w:eastAsia="zh-CN"/>
        </w:rPr>
        <w:t>的组成部分</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执行电力中长期交易规则，</w:t>
      </w:r>
      <w:r>
        <w:rPr>
          <w:rFonts w:hint="eastAsia" w:ascii="Times New Roman" w:hAnsi="Times New Roman" w:eastAsia="方正仿宋_GBK"/>
          <w:sz w:val="32"/>
          <w:szCs w:val="32"/>
        </w:rPr>
        <w:t>由电力交易机构在电力交易平台按照年（多年）、月（多月）、月内（旬、周、日滚动）等周期组织开展。电力交易平台依托区块链技术可靠记录绿色电力交易、合同、结算、消费统计等全业务环节信息，为交易主体提供绿色电力交易申报、交易结果查看、结算结果查看及确认等服务。</w:t>
      </w:r>
    </w:p>
    <w:p>
      <w:pPr>
        <w:keepNext w:val="0"/>
        <w:keepLines w:val="0"/>
        <w:pageBreakBefore w:val="0"/>
        <w:widowControl/>
        <w:kinsoku/>
        <w:wordWrap/>
        <w:overflowPunct/>
        <w:topLinePunct w:val="0"/>
        <w:autoSpaceDE/>
        <w:autoSpaceDN/>
        <w:bidi w:val="0"/>
        <w:adjustRightInd/>
        <w:snapToGrid/>
        <w:spacing w:line="588" w:lineRule="exact"/>
        <w:ind w:firstLine="640" w:firstLineChars="200"/>
        <w:jc w:val="left"/>
        <w:textAlignment w:val="auto"/>
        <w:rPr>
          <w:rFonts w:hint="eastAsia" w:ascii="Times New Roman" w:hAnsi="Times New Roman" w:eastAsia="方正黑体_GBK" w:cs="方正黑体_GBK"/>
          <w:kern w:val="0"/>
          <w:sz w:val="32"/>
          <w:szCs w:val="32"/>
          <w:lang w:bidi="ar"/>
        </w:rPr>
      </w:pPr>
      <w:r>
        <w:rPr>
          <w:rFonts w:hint="eastAsia" w:ascii="Times New Roman" w:hAnsi="Times New Roman" w:eastAsia="方正黑体_GBK" w:cs="方正黑体_GBK"/>
          <w:kern w:val="0"/>
          <w:sz w:val="32"/>
          <w:szCs w:val="32"/>
          <w:lang w:bidi="ar"/>
        </w:rPr>
        <w:t>二、建立健全绿色电力交易机制</w:t>
      </w:r>
    </w:p>
    <w:p>
      <w:pPr>
        <w:keepNext w:val="0"/>
        <w:keepLines w:val="0"/>
        <w:pageBreakBefore w:val="0"/>
        <w:kinsoku/>
        <w:wordWrap/>
        <w:overflowPunct/>
        <w:topLinePunct w:val="0"/>
        <w:autoSpaceDE/>
        <w:autoSpaceDN/>
        <w:bidi w:val="0"/>
        <w:adjustRightInd/>
        <w:snapToGrid/>
        <w:spacing w:line="588" w:lineRule="exact"/>
        <w:ind w:firstLine="640" w:firstLineChars="200"/>
        <w:contextualSpacing/>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绿色电力交易应坚持绿色优先、市场导向、安全可靠的原则，充分发挥市场作用，全面反映绿色电力的电能</w:t>
      </w:r>
      <w:r>
        <w:rPr>
          <w:rFonts w:hint="eastAsia" w:ascii="Times New Roman" w:hAnsi="Times New Roman" w:eastAsia="方正仿宋_GBK"/>
          <w:sz w:val="32"/>
          <w:szCs w:val="32"/>
          <w:lang w:val="en-US" w:eastAsia="zh-CN"/>
        </w:rPr>
        <w:t>量</w:t>
      </w:r>
      <w:r>
        <w:rPr>
          <w:rFonts w:hint="eastAsia" w:ascii="Times New Roman" w:hAnsi="Times New Roman" w:eastAsia="方正仿宋_GBK"/>
          <w:sz w:val="32"/>
          <w:szCs w:val="32"/>
        </w:rPr>
        <w:t>价值和环境价值。</w:t>
      </w:r>
      <w:r>
        <w:rPr>
          <w:rFonts w:hint="eastAsia" w:ascii="Times New Roman" w:hAnsi="Times New Roman" w:eastAsia="方正仿宋_GBK"/>
          <w:sz w:val="32"/>
          <w:szCs w:val="32"/>
          <w:lang w:eastAsia="zh-CN"/>
        </w:rPr>
        <w:t>不得以绿电交易名义组织开展以变相降价为目的的专场交易。</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outlineLvl w:val="2"/>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（一）交易</w:t>
      </w:r>
      <w:r>
        <w:rPr>
          <w:rFonts w:hint="eastAsia" w:ascii="Times New Roman" w:hAnsi="Times New Roman" w:eastAsia="方正楷体_GBK" w:cs="方正楷体_GBK"/>
          <w:b w:val="0"/>
          <w:bCs w:val="0"/>
          <w:sz w:val="32"/>
          <w:szCs w:val="32"/>
          <w:lang w:val="en-US" w:eastAsia="zh-CN"/>
        </w:rPr>
        <w:t>组织</w:t>
      </w:r>
    </w:p>
    <w:p>
      <w:pPr>
        <w:keepNext w:val="0"/>
        <w:keepLines w:val="0"/>
        <w:pageBreakBefore w:val="0"/>
        <w:kinsoku/>
        <w:wordWrap/>
        <w:overflowPunct/>
        <w:topLinePunct w:val="0"/>
        <w:autoSpaceDE/>
        <w:autoSpaceDN/>
        <w:bidi w:val="0"/>
        <w:adjustRightInd/>
        <w:snapToGrid/>
        <w:spacing w:line="588" w:lineRule="exact"/>
        <w:ind w:firstLine="640" w:firstLineChars="200"/>
        <w:contextualSpacing/>
        <w:textAlignment w:val="auto"/>
        <w:rPr>
          <w:rFonts w:hint="eastAsia" w:ascii="Times New Roman" w:hAnsi="Times New Roman" w:eastAsia="方正仿宋_GBK"/>
          <w:sz w:val="32"/>
          <w:szCs w:val="32"/>
        </w:rPr>
      </w:pPr>
      <w:bookmarkStart w:id="0" w:name="_Toc32290"/>
      <w:r>
        <w:rPr>
          <w:rFonts w:hint="eastAsia" w:ascii="Times New Roman" w:hAnsi="Times New Roman" w:eastAsia="方正仿宋_GBK"/>
          <w:sz w:val="32"/>
          <w:szCs w:val="32"/>
        </w:rPr>
        <w:t>绿色电力交易主要包括省内绿色电力交易和</w:t>
      </w:r>
      <w:r>
        <w:rPr>
          <w:rFonts w:hint="eastAsia" w:ascii="Times New Roman" w:hAnsi="Times New Roman" w:eastAsia="方正仿宋_GBK"/>
          <w:sz w:val="32"/>
          <w:szCs w:val="32"/>
          <w:lang w:val="en-US" w:eastAsia="zh-CN"/>
        </w:rPr>
        <w:t>跨省区</w:t>
      </w:r>
      <w:r>
        <w:rPr>
          <w:rFonts w:hint="eastAsia" w:ascii="Times New Roman" w:hAnsi="Times New Roman" w:eastAsia="方正仿宋_GBK"/>
          <w:sz w:val="32"/>
          <w:szCs w:val="32"/>
        </w:rPr>
        <w:t>绿色电力交易，其中：</w:t>
      </w:r>
    </w:p>
    <w:p>
      <w:pPr>
        <w:keepNext w:val="0"/>
        <w:keepLines w:val="0"/>
        <w:pageBreakBefore w:val="0"/>
        <w:kinsoku/>
        <w:wordWrap/>
        <w:overflowPunct/>
        <w:topLinePunct w:val="0"/>
        <w:autoSpaceDE/>
        <w:autoSpaceDN/>
        <w:bidi w:val="0"/>
        <w:adjustRightInd/>
        <w:snapToGrid/>
        <w:spacing w:line="588" w:lineRule="exact"/>
        <w:ind w:firstLine="640" w:firstLineChars="200"/>
        <w:contextualSpacing/>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1.省内绿色电力交易是指由电力用户或售电公司通过电力直接交易的方式向本省发电企业购买绿色电力。</w:t>
      </w:r>
    </w:p>
    <w:p>
      <w:pPr>
        <w:keepNext w:val="0"/>
        <w:keepLines w:val="0"/>
        <w:pageBreakBefore w:val="0"/>
        <w:kinsoku/>
        <w:wordWrap/>
        <w:overflowPunct/>
        <w:topLinePunct w:val="0"/>
        <w:autoSpaceDE/>
        <w:autoSpaceDN/>
        <w:bidi w:val="0"/>
        <w:adjustRightInd/>
        <w:snapToGrid/>
        <w:spacing w:line="588" w:lineRule="exact"/>
        <w:ind w:firstLine="640" w:firstLineChars="200"/>
        <w:contextualSpacing/>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跨省区</w:t>
      </w:r>
      <w:r>
        <w:rPr>
          <w:rFonts w:hint="eastAsia" w:ascii="Times New Roman" w:hAnsi="Times New Roman" w:eastAsia="方正仿宋_GBK"/>
          <w:sz w:val="32"/>
          <w:szCs w:val="32"/>
        </w:rPr>
        <w:t>绿色电力交易是指电力用户或售电公司向其他省发电企业购买绿色电力。初期可由电网企业汇总并确认省内绿色电力</w:t>
      </w:r>
      <w:r>
        <w:rPr>
          <w:rFonts w:hint="eastAsia" w:ascii="Times New Roman" w:hAnsi="Times New Roman" w:eastAsia="方正仿宋_GBK"/>
          <w:sz w:val="32"/>
          <w:szCs w:val="32"/>
          <w:lang w:val="en-US" w:eastAsia="zh-CN"/>
        </w:rPr>
        <w:t>购买</w:t>
      </w:r>
      <w:r>
        <w:rPr>
          <w:rFonts w:hint="eastAsia" w:ascii="Times New Roman" w:hAnsi="Times New Roman" w:eastAsia="方正仿宋_GBK"/>
          <w:sz w:val="32"/>
          <w:szCs w:val="32"/>
        </w:rPr>
        <w:t>需求，跨省</w:t>
      </w:r>
      <w:r>
        <w:rPr>
          <w:rFonts w:hint="eastAsia" w:ascii="Times New Roman" w:hAnsi="Times New Roman" w:eastAsia="方正仿宋_GBK"/>
          <w:sz w:val="32"/>
          <w:szCs w:val="32"/>
          <w:lang w:val="en-US" w:eastAsia="zh-CN"/>
        </w:rPr>
        <w:t>区</w:t>
      </w:r>
      <w:r>
        <w:rPr>
          <w:rFonts w:hint="eastAsia" w:ascii="Times New Roman" w:hAnsi="Times New Roman" w:eastAsia="方正仿宋_GBK"/>
          <w:sz w:val="32"/>
          <w:szCs w:val="32"/>
        </w:rPr>
        <w:t>购买绿色电力。</w:t>
      </w:r>
      <w:r>
        <w:rPr>
          <w:rFonts w:hint="eastAsia" w:ascii="Times New Roman" w:hAnsi="Times New Roman" w:eastAsia="方正仿宋_GBK"/>
          <w:sz w:val="32"/>
          <w:szCs w:val="32"/>
          <w:lang w:val="en-US" w:eastAsia="zh-CN"/>
        </w:rPr>
        <w:t>北京、广州电力交易中心应为有绿电消费需求的用户提供便捷有利条件，</w:t>
      </w:r>
      <w:r>
        <w:rPr>
          <w:rFonts w:hint="eastAsia" w:ascii="Times New Roman" w:hAnsi="Times New Roman" w:eastAsia="方正仿宋_GBK"/>
          <w:sz w:val="32"/>
          <w:szCs w:val="32"/>
        </w:rPr>
        <w:t>推动用户直接参与跨省区交易，鼓励</w:t>
      </w:r>
      <w:r>
        <w:rPr>
          <w:rFonts w:hint="eastAsia" w:ascii="Times New Roman" w:hAnsi="Times New Roman" w:eastAsia="方正仿宋_GBK"/>
          <w:sz w:val="32"/>
          <w:szCs w:val="32"/>
          <w:lang w:val="en-US" w:eastAsia="zh-CN"/>
        </w:rPr>
        <w:t>开展跨省区集中竞价</w:t>
      </w:r>
      <w:r>
        <w:rPr>
          <w:rFonts w:hint="eastAsia" w:ascii="Times New Roman" w:hAnsi="Times New Roman" w:eastAsia="方正仿宋_GBK"/>
          <w:sz w:val="32"/>
          <w:szCs w:val="32"/>
        </w:rPr>
        <w:t>绿电交易。</w:t>
      </w:r>
    </w:p>
    <w:p>
      <w:pPr>
        <w:keepNext w:val="0"/>
        <w:keepLines w:val="0"/>
        <w:pageBreakBefore w:val="0"/>
        <w:kinsoku/>
        <w:wordWrap/>
        <w:overflowPunct/>
        <w:topLinePunct w:val="0"/>
        <w:autoSpaceDE/>
        <w:autoSpaceDN/>
        <w:bidi w:val="0"/>
        <w:adjustRightInd/>
        <w:snapToGrid/>
        <w:spacing w:line="588" w:lineRule="exact"/>
        <w:ind w:firstLine="640" w:firstLineChars="200"/>
        <w:contextualSpacing/>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省内绿</w:t>
      </w:r>
      <w:r>
        <w:rPr>
          <w:rFonts w:hint="eastAsia" w:ascii="Times New Roman" w:hAnsi="Times New Roman" w:eastAsia="方正仿宋_GBK"/>
          <w:sz w:val="32"/>
          <w:szCs w:val="32"/>
          <w:lang w:val="en-US" w:eastAsia="zh-CN"/>
        </w:rPr>
        <w:t>色电力</w:t>
      </w:r>
      <w:r>
        <w:rPr>
          <w:rFonts w:hint="eastAsia" w:ascii="Times New Roman" w:hAnsi="Times New Roman" w:eastAsia="方正仿宋_GBK"/>
          <w:sz w:val="32"/>
          <w:szCs w:val="32"/>
        </w:rPr>
        <w:t>交易由</w:t>
      </w:r>
      <w:r>
        <w:rPr>
          <w:rFonts w:hint="eastAsia" w:ascii="Times New Roman" w:hAnsi="Times New Roman" w:eastAsia="方正仿宋_GBK"/>
          <w:sz w:val="32"/>
          <w:szCs w:val="32"/>
          <w:lang w:val="en-US" w:eastAsia="zh-CN"/>
        </w:rPr>
        <w:t>各</w:t>
      </w:r>
      <w:r>
        <w:rPr>
          <w:rFonts w:hint="eastAsia" w:ascii="Times New Roman" w:hAnsi="Times New Roman" w:eastAsia="方正仿宋_GBK"/>
          <w:sz w:val="32"/>
          <w:szCs w:val="32"/>
        </w:rPr>
        <w:t>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区、市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电力交易中心组织开展</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跨省区绿</w:t>
      </w:r>
      <w:r>
        <w:rPr>
          <w:rFonts w:hint="eastAsia" w:ascii="Times New Roman" w:hAnsi="Times New Roman" w:eastAsia="方正仿宋_GBK"/>
          <w:sz w:val="32"/>
          <w:szCs w:val="32"/>
          <w:lang w:val="en-US" w:eastAsia="zh-CN"/>
        </w:rPr>
        <w:t>色电力</w:t>
      </w:r>
      <w:r>
        <w:rPr>
          <w:rFonts w:hint="eastAsia" w:ascii="Times New Roman" w:hAnsi="Times New Roman" w:eastAsia="方正仿宋_GBK"/>
          <w:sz w:val="32"/>
          <w:szCs w:val="32"/>
        </w:rPr>
        <w:t>交易由北京</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广州</w:t>
      </w:r>
      <w:r>
        <w:rPr>
          <w:rFonts w:hint="eastAsia" w:ascii="Times New Roman" w:hAnsi="Times New Roman" w:eastAsia="方正仿宋_GBK"/>
          <w:sz w:val="32"/>
          <w:szCs w:val="32"/>
        </w:rPr>
        <w:t>电力交易中心组织开展</w:t>
      </w:r>
      <w:r>
        <w:rPr>
          <w:rFonts w:hint="eastAsia" w:ascii="Times New Roman" w:hAnsi="Times New Roman" w:eastAsia="方正仿宋_GBK"/>
          <w:sz w:val="32"/>
          <w:szCs w:val="32"/>
          <w:lang w:eastAsia="zh-CN"/>
        </w:rPr>
        <w:t>。</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outlineLvl w:val="2"/>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（二）交易</w:t>
      </w:r>
      <w:r>
        <w:rPr>
          <w:rFonts w:hint="eastAsia" w:ascii="Times New Roman" w:hAnsi="Times New Roman" w:eastAsia="方正楷体_GBK" w:cs="方正楷体_GBK"/>
          <w:b w:val="0"/>
          <w:bCs w:val="0"/>
          <w:sz w:val="32"/>
          <w:szCs w:val="32"/>
          <w:lang w:val="en-US" w:eastAsia="zh-CN"/>
        </w:rPr>
        <w:t>方式</w:t>
      </w:r>
    </w:p>
    <w:p>
      <w:pPr>
        <w:keepNext w:val="0"/>
        <w:keepLines w:val="0"/>
        <w:pageBreakBefore w:val="0"/>
        <w:kinsoku/>
        <w:wordWrap/>
        <w:overflowPunct/>
        <w:topLinePunct w:val="0"/>
        <w:autoSpaceDE/>
        <w:autoSpaceDN/>
        <w:bidi w:val="0"/>
        <w:adjustRightInd/>
        <w:snapToGrid/>
        <w:spacing w:line="588" w:lineRule="exact"/>
        <w:ind w:firstLine="640" w:firstLineChars="200"/>
        <w:contextualSpacing/>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1.绿色电力交易的组织方式主要包括双边协商、挂牌、集中竞价等</w:t>
      </w:r>
      <w:r>
        <w:rPr>
          <w:rFonts w:ascii="Times New Roman" w:hAnsi="Times New Roman" w:eastAsia="方正仿宋_GBK"/>
          <w:sz w:val="32"/>
          <w:szCs w:val="32"/>
        </w:rPr>
        <w:t>。</w:t>
      </w:r>
      <w:r>
        <w:rPr>
          <w:rFonts w:hint="eastAsia" w:ascii="Times New Roman" w:hAnsi="Times New Roman" w:eastAsia="方正仿宋_GBK"/>
          <w:sz w:val="32"/>
          <w:szCs w:val="32"/>
        </w:rPr>
        <w:t>可根据市场需要进一步拓展交易方式</w:t>
      </w:r>
      <w:r>
        <w:rPr>
          <w:rFonts w:hint="eastAsia" w:ascii="Times New Roman" w:hAnsi="Times New Roman" w:eastAsia="方正仿宋_GBK"/>
          <w:sz w:val="32"/>
          <w:szCs w:val="32"/>
          <w:lang w:eastAsia="zh-CN"/>
        </w:rPr>
        <w:t>，鼓励发用双方签订多年期绿色电力购买协议</w:t>
      </w:r>
      <w:r>
        <w:rPr>
          <w:rFonts w:hint="eastAsia" w:ascii="Times New Roman" w:hAnsi="Times New Roman" w:eastAsia="方正仿宋_GBK"/>
          <w:sz w:val="32"/>
          <w:szCs w:val="32"/>
        </w:rPr>
        <w:t>。常态化开展中长期分时段交易的地区应按照相关规则，开展分时段或带电力曲线的绿色电力交易。</w:t>
      </w:r>
    </w:p>
    <w:p>
      <w:pPr>
        <w:keepNext w:val="0"/>
        <w:keepLines w:val="0"/>
        <w:pageBreakBefore w:val="0"/>
        <w:kinsoku/>
        <w:wordWrap/>
        <w:overflowPunct/>
        <w:topLinePunct w:val="0"/>
        <w:autoSpaceDE/>
        <w:autoSpaceDN/>
        <w:bidi w:val="0"/>
        <w:adjustRightInd/>
        <w:snapToGrid/>
        <w:spacing w:line="588" w:lineRule="exact"/>
        <w:ind w:firstLine="640" w:firstLineChars="200"/>
        <w:contextualSpacing/>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.推动</w:t>
      </w:r>
      <w:r>
        <w:rPr>
          <w:rFonts w:hint="eastAsia" w:ascii="Times New Roman" w:hAnsi="Times New Roman" w:eastAsia="方正仿宋_GBK"/>
          <w:sz w:val="32"/>
          <w:szCs w:val="32"/>
          <w:lang w:val="en-US" w:eastAsia="zh-CN"/>
        </w:rPr>
        <w:t>跨省区</w:t>
      </w:r>
      <w:r>
        <w:rPr>
          <w:rFonts w:hint="eastAsia" w:ascii="Times New Roman" w:hAnsi="Times New Roman" w:eastAsia="方正仿宋_GBK"/>
          <w:sz w:val="32"/>
          <w:szCs w:val="32"/>
        </w:rPr>
        <w:t>优先发电计划中的绿色电力，</w:t>
      </w:r>
      <w:r>
        <w:rPr>
          <w:rFonts w:ascii="Times New Roman" w:hAnsi="Times New Roman" w:eastAsia="方正仿宋_GBK"/>
          <w:sz w:val="32"/>
          <w:szCs w:val="32"/>
        </w:rPr>
        <w:t>通过</w:t>
      </w:r>
      <w:r>
        <w:rPr>
          <w:rFonts w:hint="eastAsia" w:ascii="Times New Roman" w:hAnsi="Times New Roman" w:eastAsia="方正仿宋_GBK"/>
          <w:sz w:val="32"/>
          <w:szCs w:val="32"/>
        </w:rPr>
        <w:t>参与绿色电力</w:t>
      </w:r>
      <w:r>
        <w:rPr>
          <w:rFonts w:ascii="Times New Roman" w:hAnsi="Times New Roman" w:eastAsia="方正仿宋_GBK"/>
          <w:sz w:val="32"/>
          <w:szCs w:val="32"/>
        </w:rPr>
        <w:t>交易</w:t>
      </w:r>
      <w:r>
        <w:rPr>
          <w:rFonts w:hint="eastAsia" w:ascii="Times New Roman" w:hAnsi="Times New Roman" w:eastAsia="方正仿宋_GBK"/>
          <w:sz w:val="32"/>
          <w:szCs w:val="32"/>
        </w:rPr>
        <w:t>的方式予以落实，扩大</w:t>
      </w:r>
      <w:r>
        <w:rPr>
          <w:rFonts w:hint="eastAsia" w:ascii="Times New Roman" w:hAnsi="Times New Roman" w:eastAsia="方正仿宋_GBK"/>
          <w:sz w:val="32"/>
          <w:szCs w:val="32"/>
          <w:lang w:val="en-US" w:eastAsia="zh-CN"/>
        </w:rPr>
        <w:t>跨省区</w:t>
      </w:r>
      <w:r>
        <w:rPr>
          <w:rFonts w:hint="eastAsia" w:ascii="Times New Roman" w:hAnsi="Times New Roman" w:eastAsia="方正仿宋_GBK"/>
          <w:sz w:val="32"/>
          <w:szCs w:val="32"/>
        </w:rPr>
        <w:t>绿色电力供给，满足跨省区绿色电力消费需求</w:t>
      </w:r>
      <w:r>
        <w:rPr>
          <w:rFonts w:ascii="Times New Roman" w:hAnsi="Times New Roman" w:eastAsia="方正仿宋_GBK"/>
          <w:sz w:val="32"/>
          <w:szCs w:val="32"/>
        </w:rPr>
        <w:t>。</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outlineLvl w:val="2"/>
        <w:rPr>
          <w:rFonts w:hint="eastAsia" w:ascii="Times New Roman" w:hAnsi="Times New Roman" w:eastAsia="方正楷体_GBK" w:cs="方正楷体_GBK"/>
          <w:b w:val="0"/>
          <w:bCs w:val="0"/>
          <w:sz w:val="32"/>
          <w:szCs w:val="32"/>
        </w:rPr>
      </w:pPr>
      <w:bookmarkStart w:id="1" w:name="_Toc29752"/>
      <w:bookmarkStart w:id="2" w:name="_Toc13746"/>
      <w:bookmarkStart w:id="3" w:name="_Toc25277"/>
      <w:bookmarkStart w:id="4" w:name="_Toc73632407"/>
      <w:bookmarkStart w:id="5" w:name="_Toc3580"/>
      <w:bookmarkStart w:id="6" w:name="_Toc15963"/>
      <w:bookmarkStart w:id="7" w:name="_Toc13647"/>
      <w:bookmarkStart w:id="8" w:name="_Toc15009"/>
      <w:bookmarkStart w:id="9" w:name="_Toc98347951"/>
      <w:r>
        <w:rPr>
          <w:rFonts w:hint="eastAsia" w:ascii="Times New Roman" w:hAnsi="Times New Roman" w:eastAsia="方正楷体_GBK" w:cs="方正楷体_GBK"/>
          <w:b w:val="0"/>
          <w:bCs w:val="0"/>
          <w:sz w:val="32"/>
          <w:szCs w:val="32"/>
        </w:rPr>
        <w:t>（三）价格机制</w:t>
      </w:r>
      <w:bookmarkEnd w:id="0"/>
      <w:bookmarkEnd w:id="1"/>
      <w:bookmarkEnd w:id="2"/>
      <w:bookmarkEnd w:id="3"/>
      <w:bookmarkEnd w:id="4"/>
      <w:bookmarkEnd w:id="5"/>
      <w:bookmarkEnd w:id="6"/>
      <w:bookmarkEnd w:id="7"/>
      <w:bookmarkEnd w:id="8"/>
      <w:bookmarkEnd w:id="9"/>
    </w:p>
    <w:p>
      <w:pPr>
        <w:keepNext w:val="0"/>
        <w:keepLines w:val="0"/>
        <w:pageBreakBefore w:val="0"/>
        <w:kinsoku/>
        <w:wordWrap/>
        <w:overflowPunct/>
        <w:topLinePunct w:val="0"/>
        <w:autoSpaceDE/>
        <w:autoSpaceDN/>
        <w:bidi w:val="0"/>
        <w:adjustRightInd/>
        <w:snapToGrid/>
        <w:spacing w:line="588" w:lineRule="exact"/>
        <w:ind w:firstLine="640" w:firstLineChars="200"/>
        <w:contextualSpacing/>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1.绿色电力交易价格包括电能量价格与</w:t>
      </w:r>
      <w:r>
        <w:rPr>
          <w:rFonts w:hint="eastAsia" w:ascii="Times New Roman" w:hAnsi="Times New Roman" w:eastAsia="方正仿宋_GBK"/>
          <w:sz w:val="32"/>
          <w:szCs w:val="32"/>
          <w:lang w:val="en-US" w:eastAsia="zh-CN"/>
        </w:rPr>
        <w:t>绿证</w:t>
      </w:r>
      <w:r>
        <w:rPr>
          <w:rFonts w:hint="eastAsia" w:ascii="Times New Roman" w:hAnsi="Times New Roman" w:eastAsia="方正仿宋_GBK"/>
          <w:sz w:val="32"/>
          <w:szCs w:val="32"/>
        </w:rPr>
        <w:t>价格，</w:t>
      </w:r>
      <w:r>
        <w:rPr>
          <w:rFonts w:hint="eastAsia" w:ascii="Times New Roman" w:hAnsi="Times New Roman" w:eastAsia="方正仿宋_GBK"/>
          <w:sz w:val="32"/>
          <w:szCs w:val="32"/>
          <w:lang w:val="en-US" w:eastAsia="zh-CN"/>
        </w:rPr>
        <w:t>绿证</w:t>
      </w:r>
      <w:r>
        <w:rPr>
          <w:rFonts w:hint="eastAsia" w:ascii="Times New Roman" w:hAnsi="Times New Roman" w:eastAsia="方正仿宋_GBK"/>
          <w:sz w:val="32"/>
          <w:szCs w:val="32"/>
        </w:rPr>
        <w:t>价格应由双方充分考虑可再生能源消纳责任权重、能耗双控、碳排放双控等因素通过市场化交易方式综合确定。除国家有明确规定的情况外，以双边协商方式组织的绿色电力交易中，不对价格进行限价。</w:t>
      </w:r>
      <w:r>
        <w:rPr>
          <w:rFonts w:hint="eastAsia" w:ascii="Times New Roman" w:hAnsi="Times New Roman" w:eastAsia="方正仿宋_GBK" w:cs="Times New Roman"/>
          <w:i w:val="0"/>
          <w:iCs w:val="0"/>
          <w:caps w:val="0"/>
          <w:color w:val="auto"/>
          <w:spacing w:val="0"/>
          <w:sz w:val="32"/>
          <w:szCs w:val="32"/>
          <w:shd w:val="clear" w:fill="auto"/>
        </w:rPr>
        <w:t>集中竞价交易中，为避免市场操纵以及恶性竞争，可对</w:t>
      </w:r>
      <w:r>
        <w:rPr>
          <w:rFonts w:hint="eastAsia" w:ascii="Times New Roman" w:hAnsi="Times New Roman" w:eastAsia="方正仿宋_GBK" w:cs="Times New Roman"/>
          <w:i w:val="0"/>
          <w:iCs w:val="0"/>
          <w:caps w:val="0"/>
          <w:color w:val="auto"/>
          <w:spacing w:val="0"/>
          <w:sz w:val="32"/>
          <w:szCs w:val="32"/>
          <w:shd w:val="clear" w:fill="auto"/>
          <w:lang w:val="en-US" w:eastAsia="zh-CN"/>
        </w:rPr>
        <w:t>电能量</w:t>
      </w:r>
      <w:r>
        <w:rPr>
          <w:rFonts w:hint="eastAsia" w:ascii="Times New Roman" w:hAnsi="Times New Roman" w:eastAsia="方正仿宋_GBK" w:cs="Times New Roman"/>
          <w:i w:val="0"/>
          <w:iCs w:val="0"/>
          <w:caps w:val="0"/>
          <w:color w:val="auto"/>
          <w:spacing w:val="0"/>
          <w:sz w:val="32"/>
          <w:szCs w:val="32"/>
          <w:shd w:val="clear" w:fill="auto"/>
        </w:rPr>
        <w:t>报价或者出清价格设置上、下限。</w:t>
      </w:r>
      <w:r>
        <w:rPr>
          <w:rFonts w:hint="eastAsia" w:ascii="Times New Roman" w:hAnsi="Times New Roman" w:eastAsia="方正仿宋_GBK" w:cs="Times New Roman"/>
          <w:i w:val="0"/>
          <w:iCs w:val="0"/>
          <w:caps w:val="0"/>
          <w:color w:val="auto"/>
          <w:spacing w:val="0"/>
          <w:sz w:val="32"/>
          <w:szCs w:val="32"/>
          <w:shd w:val="clear" w:fill="auto"/>
          <w:lang w:val="en-US" w:eastAsia="zh-CN"/>
        </w:rPr>
        <w:t>电能量</w:t>
      </w:r>
      <w:r>
        <w:rPr>
          <w:rFonts w:hint="eastAsia" w:ascii="Times New Roman" w:hAnsi="Times New Roman" w:eastAsia="方正仿宋_GBK" w:cs="Times New Roman"/>
          <w:i w:val="0"/>
          <w:iCs w:val="0"/>
          <w:caps w:val="0"/>
          <w:color w:val="auto"/>
          <w:spacing w:val="0"/>
          <w:sz w:val="32"/>
          <w:szCs w:val="32"/>
          <w:shd w:val="clear" w:fill="auto"/>
        </w:rPr>
        <w:t>价格上、下限原则上由相应电力市场管理委员会提出，经国家能源局派出机构和政府有关部门审定，应当避免政府不当干预。</w:t>
      </w:r>
    </w:p>
    <w:p>
      <w:pPr>
        <w:keepNext w:val="0"/>
        <w:keepLines w:val="0"/>
        <w:pageBreakBefore w:val="0"/>
        <w:kinsoku/>
        <w:wordWrap/>
        <w:overflowPunct/>
        <w:topLinePunct w:val="0"/>
        <w:autoSpaceDE/>
        <w:autoSpaceDN/>
        <w:bidi w:val="0"/>
        <w:adjustRightInd/>
        <w:snapToGrid/>
        <w:spacing w:line="588" w:lineRule="exact"/>
        <w:ind w:firstLine="640" w:firstLineChars="200"/>
        <w:contextualSpacing/>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2.应确保绿色电力环境</w:t>
      </w:r>
      <w:r>
        <w:rPr>
          <w:rFonts w:hint="eastAsia" w:ascii="Times New Roman" w:hAnsi="Times New Roman" w:eastAsia="方正仿宋_GBK"/>
          <w:sz w:val="32"/>
          <w:szCs w:val="32"/>
          <w:lang w:val="en-US" w:eastAsia="zh-CN"/>
        </w:rPr>
        <w:t>价值</w:t>
      </w:r>
      <w:r>
        <w:rPr>
          <w:rFonts w:hint="eastAsia" w:ascii="Times New Roman" w:hAnsi="Times New Roman" w:eastAsia="方正仿宋_GBK"/>
          <w:sz w:val="32"/>
          <w:szCs w:val="32"/>
        </w:rPr>
        <w:t>的唯一性，不得重复计算或出售。</w:t>
      </w:r>
    </w:p>
    <w:p>
      <w:pPr>
        <w:keepNext w:val="0"/>
        <w:keepLines w:val="0"/>
        <w:pageBreakBefore w:val="0"/>
        <w:kinsoku/>
        <w:wordWrap/>
        <w:overflowPunct/>
        <w:topLinePunct w:val="0"/>
        <w:autoSpaceDE/>
        <w:autoSpaceDN/>
        <w:bidi w:val="0"/>
        <w:adjustRightInd/>
        <w:snapToGrid/>
        <w:spacing w:line="588" w:lineRule="exact"/>
        <w:ind w:firstLine="640" w:firstLineChars="200"/>
        <w:contextualSpacing/>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rPr>
        <w:t>3.绿</w:t>
      </w:r>
      <w:r>
        <w:rPr>
          <w:rFonts w:hint="eastAsia" w:ascii="Times New Roman" w:hAnsi="Times New Roman" w:eastAsia="方正仿宋_GBK"/>
          <w:sz w:val="32"/>
          <w:szCs w:val="32"/>
          <w:lang w:val="en-US" w:eastAsia="zh-CN"/>
        </w:rPr>
        <w:t>证</w:t>
      </w:r>
      <w:r>
        <w:rPr>
          <w:rFonts w:hint="eastAsia" w:ascii="Times New Roman" w:hAnsi="Times New Roman" w:eastAsia="方正仿宋_GBK"/>
          <w:sz w:val="32"/>
          <w:szCs w:val="32"/>
        </w:rPr>
        <w:t>价格不纳入峰谷分时电价机制、力调电费等计算，如遇国家政策调整，以最新规定为准。</w:t>
      </w:r>
      <w:r>
        <w:rPr>
          <w:rFonts w:hint="eastAsia" w:ascii="Times New Roman" w:hAnsi="Times New Roman" w:eastAsia="方正仿宋_GBK"/>
          <w:sz w:val="32"/>
          <w:szCs w:val="32"/>
          <w:lang w:val="en-US" w:eastAsia="zh-CN"/>
        </w:rPr>
        <w:t>输配电线损电量部分对应的绿证归发电企业所有。</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outlineLvl w:val="2"/>
        <w:rPr>
          <w:rFonts w:hint="eastAsia" w:ascii="Times New Roman" w:hAnsi="Times New Roman" w:eastAsia="方正楷体_GBK" w:cs="方正楷体_GBK"/>
          <w:b w:val="0"/>
          <w:bCs w:val="0"/>
          <w:sz w:val="32"/>
          <w:szCs w:val="32"/>
        </w:rPr>
      </w:pPr>
      <w:bookmarkStart w:id="10" w:name="_Toc8285"/>
      <w:r>
        <w:rPr>
          <w:rFonts w:hint="eastAsia" w:ascii="Times New Roman" w:hAnsi="Times New Roman" w:eastAsia="方正楷体_GBK" w:cs="方正楷体_GBK"/>
          <w:b w:val="0"/>
          <w:bCs w:val="0"/>
          <w:sz w:val="32"/>
          <w:szCs w:val="32"/>
        </w:rPr>
        <w:t>（四）</w:t>
      </w:r>
      <w:bookmarkStart w:id="11" w:name="_Toc25882"/>
      <w:bookmarkStart w:id="12" w:name="_Toc3848"/>
      <w:bookmarkStart w:id="13" w:name="_Toc24425"/>
      <w:bookmarkStart w:id="14" w:name="_Toc21358"/>
      <w:bookmarkStart w:id="15" w:name="_Toc16850"/>
      <w:bookmarkStart w:id="16" w:name="_Toc16051"/>
      <w:bookmarkStart w:id="17" w:name="_Toc98347953"/>
      <w:bookmarkStart w:id="18" w:name="_Toc73632408"/>
      <w:bookmarkStart w:id="19" w:name="_Toc14721"/>
      <w:r>
        <w:rPr>
          <w:rFonts w:hint="eastAsia" w:ascii="Times New Roman" w:hAnsi="Times New Roman" w:eastAsia="方正楷体_GBK" w:cs="方正楷体_GBK"/>
          <w:b w:val="0"/>
          <w:bCs w:val="0"/>
          <w:sz w:val="32"/>
          <w:szCs w:val="32"/>
        </w:rPr>
        <w:t>合同签订与执行</w:t>
      </w:r>
      <w:bookmarkEnd w:id="10"/>
      <w:bookmarkEnd w:id="11"/>
      <w:bookmarkEnd w:id="12"/>
      <w:bookmarkEnd w:id="13"/>
      <w:bookmarkEnd w:id="14"/>
      <w:bookmarkEnd w:id="15"/>
      <w:bookmarkEnd w:id="16"/>
      <w:bookmarkEnd w:id="17"/>
      <w:bookmarkEnd w:id="18"/>
      <w:bookmarkEnd w:id="19"/>
    </w:p>
    <w:p>
      <w:pPr>
        <w:keepNext w:val="0"/>
        <w:keepLines w:val="0"/>
        <w:pageBreakBefore w:val="0"/>
        <w:kinsoku/>
        <w:wordWrap/>
        <w:overflowPunct/>
        <w:topLinePunct w:val="0"/>
        <w:autoSpaceDE/>
        <w:autoSpaceDN/>
        <w:bidi w:val="0"/>
        <w:adjustRightInd/>
        <w:snapToGrid/>
        <w:spacing w:line="588" w:lineRule="exact"/>
        <w:ind w:firstLine="640" w:firstLineChars="200"/>
        <w:contextualSpacing/>
        <w:textAlignment w:val="auto"/>
        <w:rPr>
          <w:rFonts w:hint="eastAsia" w:ascii="Times New Roman" w:hAnsi="Times New Roman" w:eastAsia="方正仿宋_GBK"/>
          <w:sz w:val="32"/>
          <w:szCs w:val="32"/>
        </w:rPr>
      </w:pPr>
      <w:bookmarkStart w:id="20" w:name="_Toc9950"/>
      <w:r>
        <w:rPr>
          <w:rFonts w:hint="eastAsia" w:ascii="Times New Roman" w:hAnsi="Times New Roman" w:eastAsia="方正仿宋_GBK"/>
          <w:sz w:val="32"/>
          <w:szCs w:val="32"/>
        </w:rPr>
        <w:t>1.电力用户或售电公司与发电企业签订绿色电力交易合同，应明确交易电量、价格（包括电能量价格、</w:t>
      </w:r>
      <w:r>
        <w:rPr>
          <w:rFonts w:hint="eastAsia" w:ascii="Times New Roman" w:hAnsi="Times New Roman" w:eastAsia="方正仿宋_GBK"/>
          <w:sz w:val="32"/>
          <w:szCs w:val="32"/>
          <w:lang w:val="en-US" w:eastAsia="zh-CN"/>
        </w:rPr>
        <w:t>绿证</w:t>
      </w:r>
      <w:r>
        <w:rPr>
          <w:rFonts w:hint="eastAsia" w:ascii="Times New Roman" w:hAnsi="Times New Roman" w:eastAsia="方正仿宋_GBK"/>
          <w:sz w:val="32"/>
          <w:szCs w:val="32"/>
        </w:rPr>
        <w:t>价格）等事项。售电公司与电力用户签订的零售合同中应明确上述事项。</w:t>
      </w:r>
      <w:bookmarkEnd w:id="20"/>
    </w:p>
    <w:p>
      <w:pPr>
        <w:keepNext w:val="0"/>
        <w:keepLines w:val="0"/>
        <w:pageBreakBefore w:val="0"/>
        <w:kinsoku/>
        <w:wordWrap/>
        <w:overflowPunct/>
        <w:topLinePunct w:val="0"/>
        <w:autoSpaceDE/>
        <w:autoSpaceDN/>
        <w:bidi w:val="0"/>
        <w:adjustRightInd/>
        <w:snapToGrid/>
        <w:spacing w:line="588" w:lineRule="exact"/>
        <w:ind w:firstLine="640" w:firstLineChars="200"/>
        <w:contextualSpacing/>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2.绿色电力交易可根据电力中长期交易基本规则、各省级</w:t>
      </w:r>
      <w:r>
        <w:rPr>
          <w:rFonts w:ascii="Times New Roman" w:hAnsi="Times New Roman" w:eastAsia="方正仿宋_GBK"/>
          <w:sz w:val="32"/>
          <w:szCs w:val="32"/>
        </w:rPr>
        <w:t>电力中长期</w:t>
      </w:r>
      <w:r>
        <w:rPr>
          <w:rFonts w:hint="eastAsia" w:ascii="Times New Roman" w:hAnsi="Times New Roman" w:eastAsia="方正仿宋_GBK"/>
          <w:sz w:val="32"/>
          <w:szCs w:val="32"/>
        </w:rPr>
        <w:t>交易实施细则、跨省跨区电力</w:t>
      </w:r>
      <w:r>
        <w:rPr>
          <w:rFonts w:ascii="Times New Roman" w:hAnsi="Times New Roman" w:eastAsia="方正仿宋_GBK"/>
          <w:sz w:val="32"/>
          <w:szCs w:val="32"/>
        </w:rPr>
        <w:t>中长期</w:t>
      </w:r>
      <w:r>
        <w:rPr>
          <w:rFonts w:hint="eastAsia" w:ascii="Times New Roman" w:hAnsi="Times New Roman" w:eastAsia="方正仿宋_GBK"/>
          <w:sz w:val="32"/>
          <w:szCs w:val="32"/>
        </w:rPr>
        <w:t>交易实施细则等相关规定，在合同各方协商一致、并确保绿色电力可追踪溯源的前提下，建立灵活的合同调整机制，按月或更短周期开展合同转让等交易。</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outlineLvl w:val="2"/>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（五）</w:t>
      </w:r>
      <w:bookmarkStart w:id="21" w:name="_Toc1413"/>
      <w:bookmarkStart w:id="22" w:name="_Toc23928"/>
      <w:bookmarkStart w:id="23" w:name="_Toc98347957"/>
      <w:bookmarkStart w:id="24" w:name="_Toc2623"/>
      <w:bookmarkStart w:id="25" w:name="_Toc2595"/>
      <w:bookmarkStart w:id="26" w:name="_Toc73632412"/>
      <w:bookmarkStart w:id="27" w:name="_Toc21636"/>
      <w:bookmarkStart w:id="28" w:name="_Toc12629"/>
      <w:bookmarkStart w:id="29" w:name="_Toc18688"/>
      <w:bookmarkStart w:id="30" w:name="_Toc32374"/>
      <w:r>
        <w:rPr>
          <w:rFonts w:hint="eastAsia" w:ascii="Times New Roman" w:hAnsi="Times New Roman" w:eastAsia="方正楷体_GBK" w:cs="方正楷体_GBK"/>
          <w:b w:val="0"/>
          <w:bCs w:val="0"/>
          <w:sz w:val="32"/>
          <w:szCs w:val="32"/>
        </w:rPr>
        <w:t>交易结算</w:t>
      </w:r>
      <w:bookmarkEnd w:id="21"/>
      <w:bookmarkEnd w:id="22"/>
      <w:bookmarkEnd w:id="23"/>
      <w:bookmarkEnd w:id="24"/>
      <w:bookmarkEnd w:id="25"/>
      <w:bookmarkEnd w:id="26"/>
      <w:bookmarkEnd w:id="27"/>
      <w:bookmarkEnd w:id="28"/>
      <w:bookmarkEnd w:id="29"/>
      <w:bookmarkEnd w:id="30"/>
      <w:r>
        <w:rPr>
          <w:rFonts w:hint="eastAsia" w:ascii="Times New Roman" w:hAnsi="Times New Roman" w:eastAsia="方正楷体_GBK" w:cs="方正楷体_GBK"/>
          <w:b w:val="0"/>
          <w:bCs w:val="0"/>
          <w:sz w:val="32"/>
          <w:szCs w:val="32"/>
        </w:rPr>
        <w:t>及偏差处理</w:t>
      </w:r>
    </w:p>
    <w:p>
      <w:pPr>
        <w:keepNext w:val="0"/>
        <w:keepLines w:val="0"/>
        <w:pageBreakBefore w:val="0"/>
        <w:kinsoku/>
        <w:wordWrap/>
        <w:overflowPunct/>
        <w:topLinePunct w:val="0"/>
        <w:autoSpaceDE/>
        <w:autoSpaceDN/>
        <w:bidi w:val="0"/>
        <w:adjustRightInd/>
        <w:snapToGrid/>
        <w:spacing w:line="588" w:lineRule="exact"/>
        <w:ind w:firstLine="640" w:firstLineChars="200"/>
        <w:contextualSpacing/>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1.电力交易机构向交易主体出具的绿色电力交易结算依据包含以下内容：</w:t>
      </w:r>
    </w:p>
    <w:p>
      <w:pPr>
        <w:keepNext w:val="0"/>
        <w:keepLines w:val="0"/>
        <w:pageBreakBefore w:val="0"/>
        <w:kinsoku/>
        <w:wordWrap/>
        <w:overflowPunct/>
        <w:topLinePunct w:val="0"/>
        <w:autoSpaceDE/>
        <w:autoSpaceDN/>
        <w:bidi w:val="0"/>
        <w:adjustRightInd/>
        <w:snapToGrid/>
        <w:spacing w:line="588" w:lineRule="exact"/>
        <w:ind w:firstLine="640" w:firstLineChars="200"/>
        <w:contextualSpacing/>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（1）电能量部分结算电量、价格、结算费用；</w:t>
      </w:r>
    </w:p>
    <w:p>
      <w:pPr>
        <w:keepNext w:val="0"/>
        <w:keepLines w:val="0"/>
        <w:pageBreakBefore w:val="0"/>
        <w:kinsoku/>
        <w:wordWrap/>
        <w:overflowPunct/>
        <w:topLinePunct w:val="0"/>
        <w:autoSpaceDE/>
        <w:autoSpaceDN/>
        <w:bidi w:val="0"/>
        <w:adjustRightInd/>
        <w:snapToGrid/>
        <w:spacing w:line="588" w:lineRule="exact"/>
        <w:ind w:firstLine="640" w:firstLineChars="200"/>
        <w:contextualSpacing/>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（2）绿</w:t>
      </w:r>
      <w:r>
        <w:rPr>
          <w:rFonts w:hint="eastAsia" w:ascii="Times New Roman" w:hAnsi="Times New Roman" w:eastAsia="方正仿宋_GBK"/>
          <w:sz w:val="32"/>
          <w:szCs w:val="32"/>
          <w:lang w:val="en-US" w:eastAsia="zh-CN"/>
        </w:rPr>
        <w:t>证</w:t>
      </w:r>
      <w:r>
        <w:rPr>
          <w:rFonts w:hint="eastAsia" w:ascii="Times New Roman" w:hAnsi="Times New Roman" w:eastAsia="方正仿宋_GBK"/>
          <w:sz w:val="32"/>
          <w:szCs w:val="32"/>
        </w:rPr>
        <w:t>部分结算电量、价格、结算费用；</w:t>
      </w:r>
    </w:p>
    <w:p>
      <w:pPr>
        <w:keepNext w:val="0"/>
        <w:keepLines w:val="0"/>
        <w:pageBreakBefore w:val="0"/>
        <w:kinsoku/>
        <w:wordWrap/>
        <w:overflowPunct/>
        <w:topLinePunct w:val="0"/>
        <w:autoSpaceDE/>
        <w:autoSpaceDN/>
        <w:bidi w:val="0"/>
        <w:adjustRightInd/>
        <w:snapToGrid/>
        <w:spacing w:line="588" w:lineRule="exact"/>
        <w:ind w:firstLine="640" w:firstLineChars="200"/>
        <w:contextualSpacing/>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（3）电能量部分偏差结算费用。</w:t>
      </w:r>
    </w:p>
    <w:p>
      <w:pPr>
        <w:keepNext w:val="0"/>
        <w:keepLines w:val="0"/>
        <w:pageBreakBefore w:val="0"/>
        <w:kinsoku/>
        <w:wordWrap/>
        <w:overflowPunct/>
        <w:topLinePunct w:val="0"/>
        <w:autoSpaceDE/>
        <w:autoSpaceDN/>
        <w:bidi w:val="0"/>
        <w:adjustRightInd/>
        <w:snapToGrid/>
        <w:spacing w:line="588" w:lineRule="exact"/>
        <w:ind w:firstLine="640" w:firstLineChars="200"/>
        <w:contextualSpacing/>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2.绿色电力交易电能量部分与绿</w:t>
      </w:r>
      <w:r>
        <w:rPr>
          <w:rFonts w:hint="eastAsia" w:ascii="Times New Roman" w:hAnsi="Times New Roman" w:eastAsia="方正仿宋_GBK"/>
          <w:sz w:val="32"/>
          <w:szCs w:val="32"/>
          <w:lang w:val="en-US" w:eastAsia="zh-CN"/>
        </w:rPr>
        <w:t>证</w:t>
      </w:r>
      <w:r>
        <w:rPr>
          <w:rFonts w:hint="eastAsia" w:ascii="Times New Roman" w:hAnsi="Times New Roman" w:eastAsia="方正仿宋_GBK"/>
          <w:sz w:val="32"/>
          <w:szCs w:val="32"/>
        </w:rPr>
        <w:t>部分分开结算：</w:t>
      </w:r>
    </w:p>
    <w:p>
      <w:pPr>
        <w:keepNext w:val="0"/>
        <w:keepLines w:val="0"/>
        <w:pageBreakBefore w:val="0"/>
        <w:kinsoku/>
        <w:wordWrap/>
        <w:overflowPunct/>
        <w:topLinePunct w:val="0"/>
        <w:autoSpaceDE/>
        <w:autoSpaceDN/>
        <w:bidi w:val="0"/>
        <w:adjustRightInd/>
        <w:snapToGrid/>
        <w:spacing w:line="588" w:lineRule="exact"/>
        <w:ind w:firstLine="640" w:firstLineChars="200"/>
        <w:contextualSpacing/>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（1）电能量部分按照</w:t>
      </w:r>
      <w:r>
        <w:rPr>
          <w:rFonts w:hint="eastAsia" w:ascii="Times New Roman" w:hAnsi="Times New Roman" w:eastAsia="方正仿宋_GBK"/>
          <w:sz w:val="32"/>
          <w:szCs w:val="32"/>
          <w:lang w:val="en-US" w:eastAsia="zh-CN"/>
        </w:rPr>
        <w:t>跨省区</w:t>
      </w:r>
      <w:r>
        <w:rPr>
          <w:rFonts w:hint="eastAsia" w:ascii="Times New Roman" w:hAnsi="Times New Roman" w:eastAsia="方正仿宋_GBK"/>
          <w:sz w:val="32"/>
          <w:szCs w:val="32"/>
        </w:rPr>
        <w:t>、省内市场交易规则开展结算。</w:t>
      </w:r>
    </w:p>
    <w:p>
      <w:pPr>
        <w:keepNext w:val="0"/>
        <w:keepLines w:val="0"/>
        <w:pageBreakBefore w:val="0"/>
        <w:kinsoku/>
        <w:wordWrap/>
        <w:overflowPunct/>
        <w:topLinePunct w:val="0"/>
        <w:autoSpaceDE/>
        <w:autoSpaceDN/>
        <w:bidi w:val="0"/>
        <w:adjustRightInd/>
        <w:snapToGrid/>
        <w:spacing w:line="588" w:lineRule="exact"/>
        <w:ind w:firstLine="640" w:firstLineChars="200"/>
        <w:contextualSpacing/>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（2）绿</w:t>
      </w:r>
      <w:r>
        <w:rPr>
          <w:rFonts w:hint="eastAsia" w:ascii="Times New Roman" w:hAnsi="Times New Roman" w:eastAsia="方正仿宋_GBK"/>
          <w:sz w:val="32"/>
          <w:szCs w:val="32"/>
          <w:lang w:val="en-US" w:eastAsia="zh-CN"/>
        </w:rPr>
        <w:t>证</w:t>
      </w:r>
      <w:r>
        <w:rPr>
          <w:rFonts w:hint="eastAsia" w:ascii="Times New Roman" w:hAnsi="Times New Roman" w:eastAsia="方正仿宋_GBK"/>
          <w:sz w:val="32"/>
          <w:szCs w:val="32"/>
        </w:rPr>
        <w:t>部分按当月合同电量、发电企业上网电量、电力用户用电量三者取小的原则确定结算电量（以兆瓦时为单位取整数，尾差滚动到次月核算），以绿</w:t>
      </w:r>
      <w:r>
        <w:rPr>
          <w:rFonts w:hint="eastAsia" w:ascii="Times New Roman" w:hAnsi="Times New Roman" w:eastAsia="方正仿宋_GBK"/>
          <w:sz w:val="32"/>
          <w:szCs w:val="32"/>
          <w:lang w:val="en-US" w:eastAsia="zh-CN"/>
        </w:rPr>
        <w:t>证</w:t>
      </w:r>
      <w:r>
        <w:rPr>
          <w:rFonts w:hint="eastAsia" w:ascii="Times New Roman" w:hAnsi="Times New Roman" w:eastAsia="方正仿宋_GBK"/>
          <w:sz w:val="32"/>
          <w:szCs w:val="32"/>
        </w:rPr>
        <w:t>价格结算。</w:t>
      </w:r>
    </w:p>
    <w:p>
      <w:pPr>
        <w:keepNext w:val="0"/>
        <w:keepLines w:val="0"/>
        <w:pageBreakBefore w:val="0"/>
        <w:kinsoku/>
        <w:wordWrap/>
        <w:overflowPunct/>
        <w:topLinePunct w:val="0"/>
        <w:autoSpaceDE/>
        <w:autoSpaceDN/>
        <w:bidi w:val="0"/>
        <w:adjustRightInd/>
        <w:snapToGrid/>
        <w:spacing w:line="588" w:lineRule="exact"/>
        <w:ind w:firstLine="640" w:firstLineChars="200"/>
        <w:contextualSpacing/>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同一电力用户/售电公司与多个发电企业签约，总用电量低于总合同电量的，该电力用户/售电公司对应于各发电企业的用电量按总用电量占总合同电量比重等比例调减；同一发电企业与多个电力用户/售电公司签约的，总上网电量低于总合同电量时，该发电企业对应于各电力用户/售电公司的上网电量按总上网电量占总合同电量比重等比例调减。</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outlineLvl w:val="2"/>
        <w:rPr>
          <w:rFonts w:hint="eastAsia" w:ascii="Times New Roman" w:hAnsi="Times New Roman" w:eastAsia="方正楷体_GBK" w:cs="方正楷体_GBK"/>
          <w:b w:val="0"/>
          <w:bCs w:val="0"/>
          <w:sz w:val="32"/>
          <w:szCs w:val="32"/>
        </w:rPr>
      </w:pPr>
      <w:bookmarkStart w:id="31" w:name="_Toc24112"/>
      <w:bookmarkStart w:id="32" w:name="_Toc5764"/>
      <w:r>
        <w:rPr>
          <w:rFonts w:hint="eastAsia" w:ascii="Times New Roman" w:hAnsi="Times New Roman" w:eastAsia="方正楷体_GBK" w:cs="方正楷体_GBK"/>
          <w:b w:val="0"/>
          <w:bCs w:val="0"/>
          <w:sz w:val="32"/>
          <w:szCs w:val="32"/>
        </w:rPr>
        <w:t>（六）绿证核发</w:t>
      </w:r>
      <w:bookmarkEnd w:id="31"/>
      <w:bookmarkEnd w:id="32"/>
      <w:r>
        <w:rPr>
          <w:rFonts w:hint="eastAsia" w:ascii="Times New Roman" w:hAnsi="Times New Roman" w:eastAsia="方正楷体_GBK" w:cs="方正楷体_GBK"/>
          <w:b w:val="0"/>
          <w:bCs w:val="0"/>
          <w:sz w:val="32"/>
          <w:szCs w:val="32"/>
        </w:rPr>
        <w:t>划转</w:t>
      </w:r>
    </w:p>
    <w:p>
      <w:pPr>
        <w:keepNext w:val="0"/>
        <w:keepLines w:val="0"/>
        <w:pageBreakBefore w:val="0"/>
        <w:kinsoku/>
        <w:wordWrap/>
        <w:overflowPunct/>
        <w:topLinePunct w:val="0"/>
        <w:autoSpaceDE/>
        <w:autoSpaceDN/>
        <w:bidi w:val="0"/>
        <w:adjustRightInd/>
        <w:snapToGrid/>
        <w:spacing w:line="588" w:lineRule="exact"/>
        <w:ind w:firstLine="640" w:firstLineChars="200"/>
        <w:contextualSpacing/>
        <w:textAlignment w:val="auto"/>
        <w:rPr>
          <w:rFonts w:hint="eastAsia" w:ascii="Times New Roman" w:hAnsi="Times New Roman" w:eastAsia="方正仿宋_GBK"/>
          <w:sz w:val="32"/>
          <w:szCs w:val="32"/>
        </w:rPr>
      </w:pPr>
      <w:bookmarkStart w:id="33" w:name="_Toc98347960"/>
      <w:r>
        <w:rPr>
          <w:rFonts w:hint="eastAsia" w:ascii="Times New Roman" w:hAnsi="Times New Roman" w:eastAsia="方正仿宋_GBK"/>
          <w:sz w:val="32"/>
          <w:szCs w:val="32"/>
        </w:rPr>
        <w:t>国家能源局负责绿证相关管理工作，国家能源局电力业务资质管理中心负责绿证核发。</w:t>
      </w:r>
    </w:p>
    <w:p>
      <w:pPr>
        <w:keepNext w:val="0"/>
        <w:keepLines w:val="0"/>
        <w:pageBreakBefore w:val="0"/>
        <w:kinsoku/>
        <w:wordWrap/>
        <w:overflowPunct/>
        <w:topLinePunct w:val="0"/>
        <w:autoSpaceDE/>
        <w:autoSpaceDN/>
        <w:bidi w:val="0"/>
        <w:adjustRightInd/>
        <w:snapToGrid/>
        <w:spacing w:line="588" w:lineRule="exact"/>
        <w:ind w:firstLine="640" w:firstLineChars="200"/>
        <w:contextualSpacing/>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绿证根据可再生能源发电项目每月度结算电量，经审核后统一核发，并按规定将相应绿证划转至发电企业或项目业主的绿证账户。</w:t>
      </w:r>
    </w:p>
    <w:bookmarkEnd w:id="33"/>
    <w:p>
      <w:pPr>
        <w:spacing w:line="588" w:lineRule="exact"/>
        <w:ind w:firstLine="0" w:firstLineChars="0"/>
        <w:outlineLvl w:val="2"/>
        <w:rPr>
          <w:rFonts w:hint="eastAsia" w:ascii="Times New Roman" w:hAnsi="Times New Roman" w:eastAsia="仿宋_GB2312" w:cs="仿宋_GB2312"/>
          <w:sz w:val="32"/>
          <w:szCs w:val="32"/>
        </w:rPr>
      </w:pPr>
    </w:p>
    <w:sectPr>
      <w:footerReference r:id="rId3" w:type="default"/>
      <w:pgSz w:w="11906" w:h="16838"/>
      <w:pgMar w:top="1984" w:right="1616" w:bottom="1814" w:left="1616"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A9C2B7-B02E-4B94-A6D2-B6965EE642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AB3996C-EDC3-40A1-9840-74A5AEA9D53F}"/>
  </w:font>
  <w:font w:name="方正仿宋_GBK">
    <w:panose1 w:val="02000000000000000000"/>
    <w:charset w:val="86"/>
    <w:family w:val="auto"/>
    <w:pitch w:val="default"/>
    <w:sig w:usb0="A00002BF" w:usb1="38CF7CFA" w:usb2="00082016" w:usb3="00000000" w:csb0="00040001" w:csb1="00000000"/>
    <w:embedRegular r:id="rId3" w:fontKey="{F5723DB4-D81C-4550-8C84-7BFBCBFFA461}"/>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楷体_GBK">
    <w:panose1 w:val="02000000000000000000"/>
    <w:charset w:val="86"/>
    <w:family w:val="auto"/>
    <w:pitch w:val="default"/>
    <w:sig w:usb0="800002BF" w:usb1="38CF7CFA" w:usb2="00000016" w:usb3="00000000" w:csb0="00040000" w:csb1="00000000"/>
    <w:embedRegular r:id="rId4" w:fontKey="{ED418841-CF25-488E-8547-965EFEAB22E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auto"/>
    <w:pitch w:val="default"/>
    <w:sig w:usb0="00000001" w:usb1="080E0000" w:usb2="00000000" w:usb3="00000000" w:csb0="00040000" w:csb1="00000000"/>
    <w:embedRegular r:id="rId5" w:fontKey="{2CAB38A7-0B15-4E2B-8D33-E84894E4AAED}"/>
  </w:font>
  <w:font w:name="方正小标宋简体">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汉仪书宋二简">
    <w:panose1 w:val="02010600000101010101"/>
    <w:charset w:val="86"/>
    <w:family w:val="auto"/>
    <w:pitch w:val="default"/>
    <w:sig w:usb0="00000001" w:usb1="080E0800" w:usb2="00000002" w:usb3="00000000" w:csb0="00040000" w:csb1="00000000"/>
  </w:font>
  <w:font w:name="方正正黑_GBK">
    <w:panose1 w:val="02000000000000000000"/>
    <w:charset w:val="86"/>
    <w:family w:val="auto"/>
    <w:pitch w:val="default"/>
    <w:sig w:usb0="A00002BF" w:usb1="38CF7CFA" w:usb2="00082016" w:usb3="00000000" w:csb0="00040001" w:csb1="00000000"/>
  </w:font>
  <w:font w:name="方正舒体">
    <w:panose1 w:val="02010601030101010101"/>
    <w:charset w:val="86"/>
    <w:family w:val="auto"/>
    <w:pitch w:val="default"/>
    <w:sig w:usb0="00000003" w:usb1="080E0000" w:usb2="00000000" w:usb3="00000000" w:csb0="00040000" w:csb1="00000000"/>
  </w:font>
  <w:font w:name="华康行楷体 W5">
    <w:panose1 w:val="03000509000000000000"/>
    <w:charset w:val="86"/>
    <w:family w:val="auto"/>
    <w:pitch w:val="default"/>
    <w:sig w:usb0="A00002BF" w:usb1="384F6CFA" w:usb2="00000012" w:usb3="00000000" w:csb0="00040001" w:csb1="00000000"/>
  </w:font>
  <w:font w:name="方正大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embedRegular r:id="rId6" w:fontKey="{F761943A-DCE1-401F-8B2B-D2F8BC7FCC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PAGE   \* MERGEFORMAT</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lang w:val="zh-CN"/>
      </w:rPr>
      <w:t>6</w:t>
    </w:r>
    <w:r>
      <w:rPr>
        <w:rFonts w:hint="default" w:ascii="Times New Roman" w:hAnsi="Times New Roman" w:eastAsia="方正仿宋_GBK" w:cs="Times New Roman"/>
        <w:sz w:val="28"/>
        <w:szCs w:val="28"/>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3ZWI1YWJmOWNkZGRjZjY2ODBiNTJhNzliNTExOTUifQ=="/>
  </w:docVars>
  <w:rsids>
    <w:rsidRoot w:val="005D2017"/>
    <w:rsid w:val="000A28BF"/>
    <w:rsid w:val="00147FC2"/>
    <w:rsid w:val="00347045"/>
    <w:rsid w:val="004A7383"/>
    <w:rsid w:val="004C3D94"/>
    <w:rsid w:val="004D28B6"/>
    <w:rsid w:val="005A73AD"/>
    <w:rsid w:val="005D2017"/>
    <w:rsid w:val="00660429"/>
    <w:rsid w:val="00754059"/>
    <w:rsid w:val="0077212A"/>
    <w:rsid w:val="007A07CD"/>
    <w:rsid w:val="009E1BC3"/>
    <w:rsid w:val="00BD7F87"/>
    <w:rsid w:val="00DD6A59"/>
    <w:rsid w:val="00F77824"/>
    <w:rsid w:val="02D43824"/>
    <w:rsid w:val="038A2283"/>
    <w:rsid w:val="04417E66"/>
    <w:rsid w:val="046441B2"/>
    <w:rsid w:val="04D9051E"/>
    <w:rsid w:val="08740006"/>
    <w:rsid w:val="088F32C6"/>
    <w:rsid w:val="0AB126D9"/>
    <w:rsid w:val="0E272796"/>
    <w:rsid w:val="0F224C0C"/>
    <w:rsid w:val="0F2C5494"/>
    <w:rsid w:val="1246286F"/>
    <w:rsid w:val="1611762C"/>
    <w:rsid w:val="19D83220"/>
    <w:rsid w:val="1A8C5184"/>
    <w:rsid w:val="1AFA5418"/>
    <w:rsid w:val="1B496E6A"/>
    <w:rsid w:val="1BCA4827"/>
    <w:rsid w:val="1DBE77FD"/>
    <w:rsid w:val="1DE4298C"/>
    <w:rsid w:val="1E72012C"/>
    <w:rsid w:val="25F83BDE"/>
    <w:rsid w:val="29894AB1"/>
    <w:rsid w:val="2C901189"/>
    <w:rsid w:val="2C9B4419"/>
    <w:rsid w:val="2D4D672E"/>
    <w:rsid w:val="2FA05332"/>
    <w:rsid w:val="2FD02770"/>
    <w:rsid w:val="31C9006B"/>
    <w:rsid w:val="32270A93"/>
    <w:rsid w:val="36C31297"/>
    <w:rsid w:val="37052D23"/>
    <w:rsid w:val="380D3ACC"/>
    <w:rsid w:val="38760275"/>
    <w:rsid w:val="38A5656B"/>
    <w:rsid w:val="394C161C"/>
    <w:rsid w:val="3A9E3906"/>
    <w:rsid w:val="3C1F120D"/>
    <w:rsid w:val="3EFE04FB"/>
    <w:rsid w:val="3F833E0E"/>
    <w:rsid w:val="40387166"/>
    <w:rsid w:val="439B0E94"/>
    <w:rsid w:val="448D5818"/>
    <w:rsid w:val="46994BC9"/>
    <w:rsid w:val="47BE056A"/>
    <w:rsid w:val="480415CC"/>
    <w:rsid w:val="487F6800"/>
    <w:rsid w:val="4AB5558B"/>
    <w:rsid w:val="4B7A3E99"/>
    <w:rsid w:val="4D6E466C"/>
    <w:rsid w:val="4EAD587C"/>
    <w:rsid w:val="4F334479"/>
    <w:rsid w:val="4FBE5AFA"/>
    <w:rsid w:val="50AA42C7"/>
    <w:rsid w:val="520F3CEA"/>
    <w:rsid w:val="524D2BD9"/>
    <w:rsid w:val="52E5410B"/>
    <w:rsid w:val="52ED6C22"/>
    <w:rsid w:val="538F6C48"/>
    <w:rsid w:val="56C27C24"/>
    <w:rsid w:val="56D0061B"/>
    <w:rsid w:val="593C0ED4"/>
    <w:rsid w:val="5B962DBB"/>
    <w:rsid w:val="5C4A4F8E"/>
    <w:rsid w:val="5DDE0C92"/>
    <w:rsid w:val="5DF549BE"/>
    <w:rsid w:val="5EB65D08"/>
    <w:rsid w:val="5EB9C2AD"/>
    <w:rsid w:val="5EEE43E0"/>
    <w:rsid w:val="61C152F3"/>
    <w:rsid w:val="632100B3"/>
    <w:rsid w:val="652C1798"/>
    <w:rsid w:val="65FA31A3"/>
    <w:rsid w:val="6642578F"/>
    <w:rsid w:val="6AF0324B"/>
    <w:rsid w:val="6E3277EF"/>
    <w:rsid w:val="6F184BD0"/>
    <w:rsid w:val="6FB97038"/>
    <w:rsid w:val="71290D5C"/>
    <w:rsid w:val="734168B5"/>
    <w:rsid w:val="75147605"/>
    <w:rsid w:val="75306BE1"/>
    <w:rsid w:val="774424D0"/>
    <w:rsid w:val="77876861"/>
    <w:rsid w:val="7BEA1731"/>
    <w:rsid w:val="7C276ABD"/>
    <w:rsid w:val="7CD630EA"/>
    <w:rsid w:val="7CDF5D6C"/>
    <w:rsid w:val="7FA5E57C"/>
    <w:rsid w:val="7FEB7DA6"/>
    <w:rsid w:val="7FEEE2A7"/>
    <w:rsid w:val="AFB348AE"/>
    <w:rsid w:val="B3D76786"/>
    <w:rsid w:val="BBFB65A6"/>
    <w:rsid w:val="BF24D6A7"/>
    <w:rsid w:val="BF7F2DFE"/>
    <w:rsid w:val="CDF75478"/>
    <w:rsid w:val="D7FA4C7F"/>
    <w:rsid w:val="DFFD6C3A"/>
    <w:rsid w:val="E0FF4688"/>
    <w:rsid w:val="EF5E7924"/>
    <w:rsid w:val="FB9D2934"/>
    <w:rsid w:val="FDEE966A"/>
    <w:rsid w:val="FE75950B"/>
    <w:rsid w:val="FFEE74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annotation text"/>
    <w:basedOn w:val="1"/>
    <w:link w:val="15"/>
    <w:autoRedefine/>
    <w:qFormat/>
    <w:uiPriority w:val="0"/>
    <w:pPr>
      <w:jc w:val="left"/>
    </w:pPr>
  </w:style>
  <w:style w:type="paragraph" w:styleId="3">
    <w:name w:val="Body Text"/>
    <w:basedOn w:val="1"/>
    <w:next w:val="4"/>
    <w:autoRedefine/>
    <w:qFormat/>
    <w:uiPriority w:val="0"/>
  </w:style>
  <w:style w:type="paragraph" w:customStyle="1" w:styleId="4">
    <w:name w:val="TOC 11"/>
    <w:next w:val="1"/>
    <w:autoRedefine/>
    <w:qFormat/>
    <w:uiPriority w:val="0"/>
    <w:pPr>
      <w:wordWrap w:val="0"/>
      <w:jc w:val="both"/>
    </w:pPr>
    <w:rPr>
      <w:rFonts w:ascii="Times New Roman" w:hAnsi="Times New Roman" w:eastAsia="宋体" w:cs="Times New Roman"/>
      <w:sz w:val="21"/>
      <w:szCs w:val="22"/>
      <w:lang w:val="en-US" w:eastAsia="zh-CN" w:bidi="ar-SA"/>
    </w:rPr>
  </w:style>
  <w:style w:type="paragraph" w:styleId="5">
    <w:name w:val="Balloon Text"/>
    <w:basedOn w:val="1"/>
    <w:link w:val="16"/>
    <w:autoRedefine/>
    <w:qFormat/>
    <w:uiPriority w:val="0"/>
    <w:rPr>
      <w:sz w:val="18"/>
      <w:szCs w:val="18"/>
    </w:rPr>
  </w:style>
  <w:style w:type="paragraph" w:styleId="6">
    <w:name w:val="footer"/>
    <w:basedOn w:val="1"/>
    <w:link w:val="17"/>
    <w:autoRedefine/>
    <w:qFormat/>
    <w:uiPriority w:val="99"/>
    <w:pPr>
      <w:tabs>
        <w:tab w:val="center" w:pos="4153"/>
        <w:tab w:val="right" w:pos="8306"/>
      </w:tabs>
      <w:snapToGrid w:val="0"/>
      <w:jc w:val="left"/>
    </w:pPr>
    <w:rPr>
      <w:sz w:val="18"/>
    </w:rPr>
  </w:style>
  <w:style w:type="paragraph" w:styleId="7">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autoRedefine/>
    <w:qFormat/>
    <w:uiPriority w:val="10"/>
    <w:pPr>
      <w:spacing w:before="240" w:after="60"/>
      <w:jc w:val="center"/>
      <w:outlineLvl w:val="0"/>
    </w:pPr>
    <w:rPr>
      <w:rFonts w:ascii="Cambria" w:hAnsi="Cambria"/>
      <w:b/>
      <w:bCs/>
      <w:sz w:val="32"/>
      <w:szCs w:val="32"/>
    </w:rPr>
  </w:style>
  <w:style w:type="paragraph" w:styleId="10">
    <w:name w:val="annotation subject"/>
    <w:basedOn w:val="2"/>
    <w:next w:val="2"/>
    <w:link w:val="19"/>
    <w:autoRedefine/>
    <w:qFormat/>
    <w:uiPriority w:val="0"/>
    <w:rPr>
      <w:b/>
      <w:bCs/>
    </w:rPr>
  </w:style>
  <w:style w:type="character" w:styleId="13">
    <w:name w:val="Strong"/>
    <w:basedOn w:val="12"/>
    <w:autoRedefine/>
    <w:qFormat/>
    <w:uiPriority w:val="0"/>
    <w:rPr>
      <w:b/>
    </w:rPr>
  </w:style>
  <w:style w:type="character" w:styleId="14">
    <w:name w:val="annotation reference"/>
    <w:autoRedefine/>
    <w:qFormat/>
    <w:uiPriority w:val="0"/>
    <w:rPr>
      <w:sz w:val="21"/>
      <w:szCs w:val="21"/>
    </w:rPr>
  </w:style>
  <w:style w:type="character" w:customStyle="1" w:styleId="15">
    <w:name w:val="批注文字 字符"/>
    <w:link w:val="2"/>
    <w:autoRedefine/>
    <w:qFormat/>
    <w:uiPriority w:val="0"/>
    <w:rPr>
      <w:rFonts w:ascii="Calibri" w:hAnsi="Calibri"/>
      <w:kern w:val="2"/>
      <w:sz w:val="21"/>
      <w:szCs w:val="24"/>
    </w:rPr>
  </w:style>
  <w:style w:type="character" w:customStyle="1" w:styleId="16">
    <w:name w:val="批注框文本 字符"/>
    <w:link w:val="5"/>
    <w:autoRedefine/>
    <w:qFormat/>
    <w:uiPriority w:val="0"/>
    <w:rPr>
      <w:rFonts w:ascii="Calibri" w:hAnsi="Calibri"/>
      <w:kern w:val="2"/>
      <w:sz w:val="18"/>
      <w:szCs w:val="18"/>
    </w:rPr>
  </w:style>
  <w:style w:type="character" w:customStyle="1" w:styleId="17">
    <w:name w:val="页脚 字符"/>
    <w:link w:val="6"/>
    <w:autoRedefine/>
    <w:qFormat/>
    <w:uiPriority w:val="99"/>
    <w:rPr>
      <w:rFonts w:ascii="Calibri" w:hAnsi="Calibri"/>
      <w:kern w:val="2"/>
      <w:sz w:val="18"/>
      <w:szCs w:val="24"/>
    </w:rPr>
  </w:style>
  <w:style w:type="character" w:customStyle="1" w:styleId="18">
    <w:name w:val="页眉 字符"/>
    <w:link w:val="7"/>
    <w:autoRedefine/>
    <w:qFormat/>
    <w:uiPriority w:val="0"/>
    <w:rPr>
      <w:rFonts w:ascii="Calibri" w:hAnsi="Calibri"/>
      <w:kern w:val="2"/>
      <w:sz w:val="18"/>
      <w:szCs w:val="18"/>
    </w:rPr>
  </w:style>
  <w:style w:type="character" w:customStyle="1" w:styleId="19">
    <w:name w:val="批注主题 字符"/>
    <w:link w:val="10"/>
    <w:autoRedefine/>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410</Words>
  <Characters>2341</Characters>
  <Lines>19</Lines>
  <Paragraphs>5</Paragraphs>
  <TotalTime>15</TotalTime>
  <ScaleCrop>false</ScaleCrop>
  <LinksUpToDate>false</LinksUpToDate>
  <CharactersWithSpaces>2746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2024-01-13T10:18:00Z</dcterms:created>
  <dc:creator>市场部</dc:creator>
  <cp:lastModifiedBy>DELL</cp:lastModifiedBy>
  <cp:lastPrinted>2024-04-10T09:27:00Z</cp:lastPrinted>
  <dcterms:modified xsi:type="dcterms:W3CDTF">2024-04-17T04:08:55Z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0F45C9FC8D334098B2EF8F64809920AF</vt:lpwstr>
  </property>
</Properties>
</file>